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2FBDB5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E60D7C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E60D7C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3C7F9E4F" w:rsidR="006604E6" w:rsidRDefault="00276BCD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Speech / Theatre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120FA490" w:rsidR="006604E6" w:rsidRDefault="00276BCD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6-12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2F03A101" w:rsidR="006604E6" w:rsidRDefault="00E60D7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6</w:t>
      </w:r>
      <w:r w:rsidR="00276BCD">
        <w:rPr>
          <w:rFonts w:ascii="Open Sans Light" w:eastAsia="Open Sans Light" w:hAnsi="Open Sans Light" w:cs="Open Sans Light"/>
          <w:sz w:val="22"/>
          <w:szCs w:val="22"/>
        </w:rPr>
        <w:t>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E60D7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D8DC2A9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44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4271BB9D" w14:textId="77777777" w:rsidR="00E60D7C" w:rsidRDefault="00E60D7C" w:rsidP="00E60D7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2037575F" w14:textId="77777777" w:rsidR="00E60D7C" w:rsidRDefault="00E60D7C" w:rsidP="00E60D7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061F891E" w14:textId="77777777" w:rsidR="00E60D7C" w:rsidRDefault="00E60D7C" w:rsidP="00E60D7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02DC00D2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4D181F40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173C57A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1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416BA107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590D5CDD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70B06386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39E6F255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6BEB7B05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3DB6E58" w14:textId="77777777" w:rsidR="00E60D7C" w:rsidRDefault="00E60D7C" w:rsidP="00E60D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542505CD" w14:textId="77777777" w:rsidR="00E60D7C" w:rsidRPr="001339EC" w:rsidRDefault="00E60D7C" w:rsidP="00E60D7C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2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bookmarkEnd w:id="2"/>
    <w:p w14:paraId="00000025" w14:textId="5A13A596" w:rsidR="006604E6" w:rsidRDefault="006604E6">
      <w:pPr>
        <w:jc w:val="center"/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00000028" w14:textId="3EC462A1" w:rsidR="006604E6" w:rsidRDefault="00B462B4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685F6285" w:rsidR="006604E6" w:rsidRDefault="00276BCD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Speech / Theatre 6-12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5B9ADA0A" w14:textId="77777777" w:rsidR="00276BCD" w:rsidRDefault="00276BCD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#1 </w:t>
            </w:r>
          </w:p>
          <w:p w14:paraId="00000047" w14:textId="708C90C5" w:rsidR="001548B9" w:rsidRDefault="00276BCD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speech/theatre has practical knowledge and skills in teaching and critically evaluating intrapersonal, interpersonal, small group communication, public speaking, listening, and communication theory.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21EA8257" w14:textId="77777777" w:rsidR="00276BCD" w:rsidRDefault="00276BCD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#2 </w:t>
            </w:r>
          </w:p>
          <w:p w14:paraId="00000049" w14:textId="1FF1FFAE" w:rsidR="001548B9" w:rsidRDefault="00276BCD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speech/theatre has practical content knowledge and skills in teaching and critically evaluating debate and forensic co-curricular activities.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01565EB5" w14:textId="77777777" w:rsidR="00276BCD" w:rsidRDefault="00276BCD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#3 </w:t>
            </w:r>
          </w:p>
          <w:p w14:paraId="0000004B" w14:textId="09BF0CAF" w:rsidR="001548B9" w:rsidRDefault="00276BCD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speech/theatre has practical content knowledge and skills in teaching and critically evaluating mass media.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2341E708" w14:textId="77777777" w:rsidR="00276BCD" w:rsidRDefault="00276BC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#4 </w:t>
            </w:r>
          </w:p>
          <w:p w14:paraId="0000004D" w14:textId="54D8FBD4" w:rsidR="006604E6" w:rsidRDefault="00276BC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speech/theatre has practical content knowledge and skills in teaching and critically evaluating technical theatre, design, history, dramatic literature, performance techniques, and directing.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07BB60C5" w14:textId="77777777" w:rsidR="00276BCD" w:rsidRDefault="00276BC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#5 </w:t>
            </w:r>
          </w:p>
          <w:p w14:paraId="0000004F" w14:textId="74EEC9A9" w:rsidR="006604E6" w:rsidRDefault="00276BC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speech/theatre has practical content knowledge and skills, needed in managing theatrical presentations in collaboration with others.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2B565135" w14:textId="77777777" w:rsidR="00276BCD" w:rsidRDefault="00276BC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#6 </w:t>
            </w:r>
          </w:p>
          <w:p w14:paraId="00000051" w14:textId="73FC264D" w:rsidR="006604E6" w:rsidRDefault="00276BC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The teacher of speech/theatre has practical knowledge and skill in teaching and critically </w:t>
            </w:r>
            <w:r w:rsidRPr="00276BC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evaluating theatre as a tool for learning about self and culture.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E60D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4C361485" w14:textId="77777777" w:rsidR="00276BCD" w:rsidRPr="00276BC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#1 </w:t>
            </w:r>
          </w:p>
          <w:p w14:paraId="00000070" w14:textId="51BE1AB1" w:rsidR="006604E6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speech/theatre has practical knowledge and skills in teaching and critically evaluating intrapersonal, interpersonal, small group communication, public speaking, listening, and communication theory.</w:t>
            </w:r>
          </w:p>
          <w:p w14:paraId="3E39DF12" w14:textId="77777777" w:rsidR="00276BCD" w:rsidRPr="007F1B6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E60D7C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382E1948" w14:textId="77777777" w:rsidR="00276BCD" w:rsidRPr="00276BC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#2 </w:t>
            </w:r>
          </w:p>
          <w:p w14:paraId="0000007B" w14:textId="5B8CADAE" w:rsidR="006604E6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speech/theatre has practical content knowledge and skills in teaching and critically evaluating debate and forensic co-curricular activities.</w:t>
            </w:r>
          </w:p>
          <w:p w14:paraId="119E9A9A" w14:textId="77777777" w:rsidR="00276BCD" w:rsidRPr="007F1B6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E60D7C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77D62864" w14:textId="77777777" w:rsidR="00276BCD" w:rsidRPr="00276BC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#3 </w:t>
            </w:r>
          </w:p>
          <w:p w14:paraId="06FA4A83" w14:textId="6DD86A61" w:rsidR="00840183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speech/theatre has practical content knowledge and skills in teaching and critically evaluating mass media.</w:t>
            </w:r>
          </w:p>
          <w:p w14:paraId="222C67A2" w14:textId="77777777" w:rsidR="00276BCD" w:rsidRPr="007F1B6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09F6E657" w14:textId="77777777" w:rsidR="00276BCD" w:rsidRPr="00276BC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#4 </w:t>
            </w:r>
          </w:p>
          <w:p w14:paraId="230A3C42" w14:textId="5FEF526C" w:rsidR="00840183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speech/theatre has practical content knowledge and skills in teaching and critically evaluating technical theatre, design, history, dramatic literature, performance techniques, and directing.</w:t>
            </w:r>
          </w:p>
          <w:p w14:paraId="77C48AA5" w14:textId="77777777" w:rsidR="00276BCD" w:rsidRPr="007F1B6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lastRenderedPageBreak/>
              <w:t>Evidence for meeting the standard:</w:t>
            </w:r>
          </w:p>
          <w:p w14:paraId="24904E1B" w14:textId="77777777" w:rsidR="00840183" w:rsidRPr="007F1B6D" w:rsidRDefault="00E60D7C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9521407" w14:textId="77777777" w:rsidR="00840183" w:rsidRDefault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38A40AC6" w14:textId="77777777" w:rsidTr="003C07CA">
        <w:tc>
          <w:tcPr>
            <w:tcW w:w="9360" w:type="dxa"/>
          </w:tcPr>
          <w:p w14:paraId="24D309E5" w14:textId="77777777" w:rsidR="00276BCD" w:rsidRPr="00276BC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#5 </w:t>
            </w:r>
          </w:p>
          <w:p w14:paraId="58707563" w14:textId="4F2F5821" w:rsidR="005C3B08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speech/theatre has practical content knowledge and skills, needed in managing theatrical presentations in collaboration with others.</w:t>
            </w:r>
          </w:p>
          <w:p w14:paraId="5C037808" w14:textId="77777777" w:rsidR="00276BCD" w:rsidRPr="007F1B6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D5438F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31A7269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83E2599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3525FD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8FF38B9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240B84BE" w14:textId="77777777" w:rsidTr="003C07CA">
        <w:tc>
          <w:tcPr>
            <w:tcW w:w="9360" w:type="dxa"/>
          </w:tcPr>
          <w:p w14:paraId="1B49A40A" w14:textId="77777777" w:rsidR="00276BCD" w:rsidRPr="00276BC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#6 </w:t>
            </w:r>
          </w:p>
          <w:p w14:paraId="6FFAA3D4" w14:textId="7326C874" w:rsidR="005C3B08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276BCD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speech/theatre has practical knowledge and skill in teaching and critically evaluating theatre as a tool for learning about self and culture.</w:t>
            </w:r>
          </w:p>
          <w:p w14:paraId="3B1DFFE4" w14:textId="77777777" w:rsidR="00276BCD" w:rsidRPr="007F1B6D" w:rsidRDefault="00276BCD" w:rsidP="00276BC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D6BDE1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E343615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8F040F1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3F8482C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726A14B3" w:rsidR="006604E6" w:rsidRDefault="00276B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Speech / Theatre</w:t>
    </w:r>
    <w:r w:rsidR="004440E7">
      <w:rPr>
        <w:b/>
        <w:color w:val="000000"/>
      </w:rPr>
      <w:t xml:space="preserve">, </w:t>
    </w:r>
    <w:r>
      <w:rPr>
        <w:b/>
        <w:color w:val="000000"/>
      </w:rPr>
      <w:t>2001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014A75"/>
    <w:rsid w:val="001548B9"/>
    <w:rsid w:val="001C5078"/>
    <w:rsid w:val="00276BCD"/>
    <w:rsid w:val="003470D2"/>
    <w:rsid w:val="00442E2F"/>
    <w:rsid w:val="004440E7"/>
    <w:rsid w:val="004944DB"/>
    <w:rsid w:val="005C3B08"/>
    <w:rsid w:val="006604E6"/>
    <w:rsid w:val="007F1B6D"/>
    <w:rsid w:val="00820AB3"/>
    <w:rsid w:val="00840183"/>
    <w:rsid w:val="00906C59"/>
    <w:rsid w:val="009767DE"/>
    <w:rsid w:val="00AA1246"/>
    <w:rsid w:val="00B462B4"/>
    <w:rsid w:val="00BC5058"/>
    <w:rsid w:val="00BD7C64"/>
    <w:rsid w:val="00BE3BE0"/>
    <w:rsid w:val="00C321D9"/>
    <w:rsid w:val="00C762F4"/>
    <w:rsid w:val="00CB2464"/>
    <w:rsid w:val="00CF68AC"/>
    <w:rsid w:val="00D03356"/>
    <w:rsid w:val="00D13CC9"/>
    <w:rsid w:val="00DD1645"/>
    <w:rsid w:val="00DF5A12"/>
    <w:rsid w:val="00E60D7C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2025-09-25T21:04:00Z</dcterms:created>
  <dcterms:modified xsi:type="dcterms:W3CDTF">2025-09-25T21:05:00Z</dcterms:modified>
</cp:coreProperties>
</file>